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2024年度江苏民政康复医院单位决算公开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江苏民政康复医院（以下简称：我院）创建于2004年，是江苏省民政厅下属的正处级事业单位，是一所集医疗、康复、养老为一体的公办二级康复专科公办医院，是江苏省医保和南京市医保定点医院。在省民政厅党组的直接领导和南京市卫健委的业务指导下，我院秉持“民政为民、民政爱民”工作理念，主要收治脑卒中、截瘫、脑瘫及骨折病人，为社会患者特别是儿童、老人、伤残人等弱势群体提供优质的康复医疗服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我院设内科（康复医学科）、中医科等住院诊疗科室和综合门诊、碎石特色门诊等门诊诊疗科室；药剂科、中草药房、检验科、放射科、B超室、供应室、门诊治疗室等辅临科室；办公室、人事科、器械科、信息科、医务科（病案室）、护理部、财务科（收费处）等行政后勤科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一、加强党的建设，落实政治责任，促进党建与业务双融合</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民康医院坚持党建引领，深入学习贯彻党的二十大精神和二十届三中全会精神，学习习近平总书记对民政工作系列讲话精神，进一步增强“四个意识”，坚定“四个自信”，践行“两个维护”。一是完成从联合党支部党小组设立医院独立党支部。二是促进党建与业务工作深度融合。</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二、加强改革创新，提高康复医疗水平，增加医院经济社会两个效益提升</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加强了医护技团队业务与学术水平。医院加强了与中大医院的业务合作，通过定期的学术讲座、技术交流和直接临床培训，提升了医院医护技人员的专业技能和医疗水平，特别在老年病、康复治疗和慢性病管理水平方面取得了显著进展。二是医疗服务质量有了显著提高。医院加强了医护人员的培训与素质提升，特别是在新技术、新疗法的应用上，推动了康复医疗服务向个性化、精准化方向发展。医院通过加强日常医疗质量管理，逐步提高了临床护理水平和患者满意度。通过开展定期的患者回访、建立患者意见反馈机制等，2024年患者满意度达到95%以上。三是康复医学科收治能力显著增强。通过中大团队业务开拓引领，今年在治疗服务上能力增长显著，特别是在老年人群体和康复医疗领域，医院开设了多个康复特色项目和服务，推动了患者的增加和业务创收。今年下半年收住入院病人293人次，较去年同期增长21%，完成了年度指标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三、资源整合、加强后勤管理，较好地推进完成病区安全改造项目建设</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通过与中大医院的合作共建，加强了两院区人员信息资源共享，推动了后勤服务工作一体化发展，拓宽了后勤服务外部支持，提升了医院的行政管理综合能力。医院从建院装修至今，病房设施老旧，房屋内部破损严重，局部电路老化，空调四季漏水，病人住院体验感觉极差，特别是存在一定安全隐患，在省厅专题调研组实地走访调研的基础上，此项目终于在厅党组的关心下得以推进。虽然从申请资金到项目立项过程较长，但医院认真成立了专班负责，前期加快设计方案，通过政府采购公开招标，引入建设单位、监理单位、审计单位，每周召开工程专题会议，研究施工方案和细节，注意质量把控的同时加强安全管理，还尽快缩短施工周期。整个建设项目运行平稳有序，拆建改造的同时，不影响病人的收治。严格制度管理，未发生任何意外和差错。这为明年医院电力增容和五楼病房建设项目打下了坚实的基础。</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四、通过成本管控与支出优化，加强化医院管理与安全保障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医院实施了更加精细化的财务管理，通过优化采购、合同谈判、物资管理等手段，减少了不必要的支出。节约资金投入到了设备更新和医疗设施改善中，有效提升了服务能力和医疗环境。同时，在医院内部管理、设施运营、安全保障等方面加大了力度，确保了医院的高效运转和患者的安全就诊体验。医院坚持安全生产“红线”意识，强化安全责任落实，持续开展安全生产专项整治，确保医院的药品安全、环境安全、医疗设备安全等各方面工作稳定运行。</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江苏民政康复医院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江苏民政康复医院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191.94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200.00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854.50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798.75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1,746.81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79.10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108.78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2,045.19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1,934.70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629.59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740.08</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2,674.78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2,674.78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2,045.19</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391.94</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854.50</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798.75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1,766.09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787.86</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798.75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1,766.09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787.86</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798.75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其他优抚支出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1,766.09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787.86</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798.75</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79.10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66.63</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79.10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66.63</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54.60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54.60</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24.50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12.03</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22960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彩票公益金安排的支出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2296002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1,934.70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1,795.91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138.78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1,746.81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1,716.81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抚恤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1,746.81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1,716.81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其他优抚支出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1,746.81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1,716.81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79.10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79.10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79.10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79.10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54.60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54.60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24.50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24.50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22960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彩票公益金安排的支出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2296002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用于社会福利的彩票公益金支出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108.78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191.94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200.00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179.47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179.47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12.47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108.78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108.78</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391.94</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300.72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191.94</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108.78</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91.22</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91.22</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391.94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391.94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191.94</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200.00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300.72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161.94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138.78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149.47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149.47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其他优抚支出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149.47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108.78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22960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彩票公益金安排的支出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108.78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2296002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108.78</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161.94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161.94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149.47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86.00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63.47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191.94</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161.94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30.00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149.47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149.47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其他优抚支出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149.47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161.94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161.94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149.47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149.47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86.00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86.00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63.47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63.47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
      </w:r>
    </w:p>
    <w:p w14:paraId="59EECFB8">
      <w:pPr>
        <w:ind w:left="440" w:leftChars="200"/>
        <w:jc w:val="both"/>
        <w:rPr>
          <w:rFonts w:hint="eastAsia" w:ascii="仿宋" w:hAnsi="仿宋" w:eastAsia="仿宋" w:cs="仿宋"/>
        </w:rPr>
      </w:pPr>
      <w:r>
        <w:rPr>
          <w:rFonts w:hint="eastAsia" w:ascii="仿宋" w:hAnsi="仿宋" w:eastAsia="仿宋" w:cs="仿宋"/>
        </w:rPr>
        <w:t/>
      </w:r>
      <w:r>
        <w:rPr>
          <w:rFonts w:hint="eastAsia" w:ascii="仿宋" w:hAnsi="仿宋" w:eastAsia="仿宋" w:cs="仿宋"/>
          <w:u/>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lang w:val="en-US"/>
        </w:rPr>
        <w:t>财政拨款</w:t>
      </w:r>
      <w:r>
        <w:rPr>
          <w:rFonts w:hint="eastAsia" w:ascii="仿宋" w:hAnsi="仿宋" w:eastAsia="仿宋" w:cs="仿宋"/>
          <w:u/>
        </w:rPr>
        <w:t>“三公”经费、会议费、培训费支出决算，故本表为空。</w:t>
      </w:r>
      <w:r>
        <w:rPr>
          <w:rFonts w:ascii="仿宋" w:eastAsia="仿宋" w:hAnsi="仿宋" w:cs="仿宋"/>
          <w:u w:color="auto"/>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108.78</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108.78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108.78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108.78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22960</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彩票公益金安排的支出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108.78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108.78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2296002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108.78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108.78</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江苏民政康复医院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138.78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30.00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108.78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2024年度收入、支出决算总计2,674.78万元。与上年相比，收、支总计各减少358.74万元，减少11.83%。其中：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（一）收入决算总计2,674.78万元。包括：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1.本年收入决算合计2,045.19万元。与上年相比，减少329.87万元，减少13.89%，变动原因：其他收入减少。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3.年初结转和结余629.59万元。与上年相比，减少28.87万元，减少4.38%，变动原因：2023年质保金支出较上一年增加，导致2024年年初结转结余较上年减少。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（二）支出决算总计2,674.78万元。包括：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1.本年支出决算合计1,934.7万元。与上年相比，减少469.08万元，减少19.51%，变动原因：上年退还质保金较多，2024年质保金支出减少。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3.年末结转和结余740.08万元。结转和结余事项：医疗收入及财政项目款结余。与上年相比，增加110.34万元，增长17.52%，变动原因：财政项目按进度付款且未验收,资金结转到下一年度支付。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2,045.19万元，其中：财政拨款收入391.94万元，占19.16%；上级补助收入0万元，占0%；财政专户管理教育收费0万元，占0%；事业收入（不含专户管理教育收费）854.5万元，占41.78%；经营收入0万元，占0%；附属单位上缴收入0万元，占0%；其他收入798.75万元，占39.06%。</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2024年度本年支出决算合计1,934.7万元，其中：基本支出1,795.91万元，占92.83%；项目支出138.78万元，占7.17%；上缴上级支出0万元，占0%；经营支出0万元，占0%；对附属单位补助支出0万元，占0%。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2024年度财政拨款收入、支出决算总计391.94万元。与上年相比，收、支总计各增加140.6万元，增长55.94%，变动原因：2024年新增维修及消防安全隐患改造工程项目。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2024年度财政拨款支出决算300.72万元，占本年支出合计的15.54%。与2024年度财政拨款支出年初预算391.94万元相比，完成年初预算的76.73%。其中：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抚恤（款）其他优抚支出（项）。年初预算179.47万元，支出决算179.47万元，完成年初预算的100%。决算数与年初预算数相同。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住房改革支出（款）提租补贴（项）。年初预算12.47万元，支出决算12.47万元，完成年初预算的100%。决算数与年初预算数相同。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（三）其他支出（类）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彩票公益金安排的支出（款）用于社会福利的彩票公益金支出（项）。年初预算200万元，支出决算108.78万元，完成年初预算的54.39%。决算数与年初预算数的差异原因：项目按进度付款且未验收,有资金结转到下一年度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2024年度财政拨款基本支出决算161.94万元，其中：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（一）人员经费161.94万元。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主要包括：基本工资、绩效工资、退休费。</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（二）公用经费0万元。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主要包括：无。</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2024年度一般公共预算财政拨款支出决算191.94万元。与上年相比，减少59.25万元，减少23.59%，变动原因：2024年减少了疫情防控补助项目支出。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2024年度一般公共预算财政拨款基本支出决算161.94万元，其中：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（一）人员经费161.94万元。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主要包括：基本工资、绩效工资、退休费。</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（二）公用经费0万元。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主要包括：无。</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2024年度政府性基金预算财政拨款支出决算108.78万元。与上年相比，增加108.78万元（上年决算数为0万元，无法计算增减比率），变动原因：2024年新增维修及消防安全隐患改造工程项目。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138.78万元，其中：政府采购货物支出30万元、政府采购工程支出108.78万元、政府采购服务支出0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1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本单位共对上年度已实施完成的2个项目开展了绩效自评价，涉及财政性资金合计230万元；本单位共开展2项单位整体支出绩效自评价，涉及财政性资金合计230万元。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十九、社会保障和就业支出(类)抚恤(款)其他优抚支出(项)</w:t>
      </w:r>
      <w:r>
        <w:rPr>
          <w:b w:val="on"/>
          <w:rFonts w:ascii="仿宋" w:eastAsia="仿宋" w:hAnsi="仿宋" w:cs="仿宋"/>
          <w:u w:color="auto"/>
        </w:rPr>
        <w:t>：</w:t>
      </w:r>
      <w:r>
        <w:rPr>
          <w:rFonts w:hint="eastAsia" w:ascii="仿宋" w:hAnsi="仿宋" w:eastAsia="仿宋" w:cs="仿宋"/>
        </w:rPr>
        <w:t>反映除上述项目以外其他用于优抚方面的支出，包括向优抚对象发放的价格临时补贴、老烈士子女、老党员定期生活补助等支出。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二十二、其他支出(类)彩票公益金安排的支出(款)用于社会福利的彩票公益金支出(项)</w:t>
      </w:r>
      <w:r>
        <w:rPr>
          <w:b w:val="on"/>
          <w:rFonts w:ascii="仿宋" w:eastAsia="仿宋" w:hAnsi="仿宋" w:cs="仿宋"/>
          <w:u w:color="auto"/>
        </w:rPr>
        <w:t>：</w:t>
      </w:r>
      <w:r>
        <w:rPr>
          <w:rFonts w:hint="eastAsia" w:ascii="仿宋" w:hAnsi="仿宋" w:eastAsia="仿宋" w:cs="仿宋"/>
        </w:rPr>
        <w:t>反映用于社会福利和社会救助的彩票公益金支出。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江苏民政康复医院</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